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97D81C" w14:textId="1D03A0BC" w:rsidR="00D156CB" w:rsidRDefault="008A5539" w:rsidP="004C2C55">
      <w:pPr>
        <w:jc w:val="center"/>
        <w:rPr>
          <w:b/>
          <w:bCs/>
          <w:sz w:val="32"/>
          <w:szCs w:val="32"/>
        </w:rPr>
      </w:pPr>
      <w:r w:rsidRPr="009D670D">
        <w:rPr>
          <w:b/>
          <w:bCs/>
          <w:sz w:val="32"/>
          <w:szCs w:val="32"/>
        </w:rPr>
        <w:t>Basic Electrical Safety Training</w:t>
      </w:r>
    </w:p>
    <w:p w14:paraId="2F39FC54" w14:textId="0218FA8D" w:rsidR="00FB471A" w:rsidRPr="00FB471A" w:rsidRDefault="00FB471A" w:rsidP="004C2C55">
      <w:pPr>
        <w:jc w:val="center"/>
        <w:rPr>
          <w:b/>
          <w:bCs/>
          <w:sz w:val="28"/>
          <w:szCs w:val="28"/>
        </w:rPr>
      </w:pPr>
      <w:r w:rsidRPr="00FB471A">
        <w:rPr>
          <w:b/>
          <w:bCs/>
          <w:sz w:val="28"/>
          <w:szCs w:val="28"/>
        </w:rPr>
        <w:t>Info Sheet</w:t>
      </w:r>
    </w:p>
    <w:p w14:paraId="6CDA4122" w14:textId="77777777" w:rsidR="004C2C55" w:rsidRDefault="004C2C55" w:rsidP="004C2C55">
      <w:pPr>
        <w:pStyle w:val="TOC4"/>
      </w:pPr>
      <w:bookmarkStart w:id="0" w:name="_Toc451324371"/>
      <w:bookmarkStart w:id="1" w:name="_Toc451326321"/>
    </w:p>
    <w:p w14:paraId="0E405F27" w14:textId="0DE387B7" w:rsidR="009D670D" w:rsidRPr="009D670D" w:rsidRDefault="009D670D" w:rsidP="009D670D">
      <w:pPr>
        <w:sectPr w:rsidR="009D670D" w:rsidRPr="009D670D" w:rsidSect="00FB471A">
          <w:headerReference w:type="default" r:id="rId7"/>
          <w:footerReference w:type="default" r:id="rId8"/>
          <w:pgSz w:w="12240" w:h="15840"/>
          <w:pgMar w:top="1440" w:right="1440" w:bottom="1440" w:left="1440" w:header="720" w:footer="288" w:gutter="0"/>
          <w:cols w:space="720"/>
          <w:docGrid w:linePitch="360"/>
        </w:sectPr>
      </w:pPr>
    </w:p>
    <w:p w14:paraId="2F4A971E" w14:textId="5690A2F9" w:rsidR="00D156CB" w:rsidRPr="009E62B6" w:rsidRDefault="00D156CB" w:rsidP="004C2C55">
      <w:pPr>
        <w:pStyle w:val="TOC4"/>
        <w:rPr>
          <w:sz w:val="28"/>
          <w:szCs w:val="28"/>
        </w:rPr>
      </w:pPr>
      <w:r w:rsidRPr="009E62B6">
        <w:rPr>
          <w:sz w:val="28"/>
          <w:szCs w:val="28"/>
        </w:rPr>
        <w:t>Course Information</w:t>
      </w:r>
    </w:p>
    <w:p w14:paraId="3A61915D" w14:textId="77777777" w:rsidR="009D670D" w:rsidRPr="009E62B6" w:rsidRDefault="009D670D" w:rsidP="009D670D">
      <w:pPr>
        <w:pStyle w:val="Heading2"/>
        <w:keepNext/>
        <w:ind w:right="0"/>
        <w:rPr>
          <w:sz w:val="32"/>
          <w:szCs w:val="28"/>
        </w:rPr>
      </w:pPr>
      <w:bookmarkStart w:id="2" w:name="_Toc451324360"/>
      <w:bookmarkStart w:id="3" w:name="_Toc451326310"/>
      <w:r w:rsidRPr="009E62B6">
        <w:rPr>
          <w:sz w:val="24"/>
        </w:rPr>
        <w:t>Course Length -</w:t>
      </w:r>
      <w:r w:rsidRPr="009E62B6">
        <w:rPr>
          <w:szCs w:val="28"/>
        </w:rPr>
        <w:t xml:space="preserve"> </w:t>
      </w:r>
      <w:r w:rsidRPr="009E62B6">
        <w:rPr>
          <w:b w:val="0"/>
          <w:bCs/>
          <w:sz w:val="22"/>
          <w:szCs w:val="20"/>
        </w:rPr>
        <w:t>4 hours</w:t>
      </w:r>
    </w:p>
    <w:p w14:paraId="6E9D9517" w14:textId="510DF9EA" w:rsidR="003C6DA2" w:rsidRPr="009E62B6" w:rsidRDefault="00D156CB" w:rsidP="009D670D">
      <w:pPr>
        <w:pStyle w:val="Heading2"/>
        <w:keepNext/>
        <w:ind w:right="0"/>
        <w:rPr>
          <w:rFonts w:eastAsiaTheme="minorEastAsia"/>
          <w:b w:val="0"/>
          <w:sz w:val="22"/>
          <w:szCs w:val="22"/>
        </w:rPr>
      </w:pPr>
      <w:r w:rsidRPr="009E62B6">
        <w:rPr>
          <w:sz w:val="24"/>
        </w:rPr>
        <w:t>Course Description</w:t>
      </w:r>
      <w:r w:rsidR="004C2C55" w:rsidRPr="009E62B6">
        <w:rPr>
          <w:sz w:val="24"/>
        </w:rPr>
        <w:t xml:space="preserve"> </w:t>
      </w:r>
      <w:r w:rsidR="004C2C55" w:rsidRPr="009E62B6">
        <w:rPr>
          <w:szCs w:val="28"/>
        </w:rPr>
        <w:t xml:space="preserve">- </w:t>
      </w:r>
      <w:r w:rsidR="003C6DA2" w:rsidRPr="009E62B6">
        <w:rPr>
          <w:rFonts w:eastAsiaTheme="minorEastAsia"/>
          <w:b w:val="0"/>
          <w:sz w:val="22"/>
          <w:szCs w:val="22"/>
        </w:rPr>
        <w:t>This course lays the framework for basic electrical understanding in order to build in hazard recognition.  Students learn about the effects and thresholds of electric shock and arc flash. With basic electrical understanding, students easily learn about basic components such as receptacles, switches, and power tools. Personnel protective devices such as GFCI and grounding conductors are explained and demonstrated. Additional electrical safety topics are discussed, including battery safety, power line safety, and initial response to electrical fire and electric shock events.</w:t>
      </w:r>
      <w:r w:rsidR="00644E90" w:rsidRPr="009E62B6">
        <w:rPr>
          <w:rFonts w:eastAsiaTheme="minorEastAsia"/>
          <w:b w:val="0"/>
          <w:sz w:val="22"/>
          <w:szCs w:val="22"/>
        </w:rPr>
        <w:t xml:space="preserve"> </w:t>
      </w:r>
    </w:p>
    <w:p w14:paraId="1E5F3C29" w14:textId="7F4C88D2" w:rsidR="00644E90" w:rsidRPr="009E62B6" w:rsidRDefault="009D670D" w:rsidP="009D670D">
      <w:pPr>
        <w:pStyle w:val="BodyText"/>
        <w:rPr>
          <w:sz w:val="22"/>
          <w:szCs w:val="18"/>
        </w:rPr>
      </w:pPr>
      <w:r w:rsidRPr="009E62B6">
        <w:rPr>
          <w:b/>
          <w:bCs/>
          <w:szCs w:val="24"/>
        </w:rPr>
        <w:t xml:space="preserve">Who Should Attend </w:t>
      </w:r>
      <w:r w:rsidRPr="009E62B6">
        <w:rPr>
          <w:b/>
          <w:bCs/>
          <w:sz w:val="28"/>
          <w:szCs w:val="22"/>
        </w:rPr>
        <w:t>-</w:t>
      </w:r>
      <w:r w:rsidRPr="009E62B6">
        <w:rPr>
          <w:sz w:val="28"/>
          <w:szCs w:val="22"/>
        </w:rPr>
        <w:t xml:space="preserve"> </w:t>
      </w:r>
      <w:r w:rsidR="00644E90" w:rsidRPr="009E62B6">
        <w:rPr>
          <w:sz w:val="22"/>
          <w:szCs w:val="18"/>
        </w:rPr>
        <w:t>This course is designed for persons that are not electrical workers</w:t>
      </w:r>
      <w:r w:rsidR="008A5539" w:rsidRPr="009E62B6">
        <w:rPr>
          <w:sz w:val="22"/>
          <w:szCs w:val="18"/>
        </w:rPr>
        <w:t xml:space="preserve"> </w:t>
      </w:r>
      <w:r w:rsidR="00644E90" w:rsidRPr="009E62B6">
        <w:rPr>
          <w:sz w:val="22"/>
          <w:szCs w:val="18"/>
        </w:rPr>
        <w:t xml:space="preserve">yet are exposed to a greater than normal risk of electrical shock due to their job </w:t>
      </w:r>
      <w:proofErr w:type="gramStart"/>
      <w:r w:rsidR="00644E90" w:rsidRPr="009E62B6">
        <w:rPr>
          <w:sz w:val="22"/>
          <w:szCs w:val="18"/>
        </w:rPr>
        <w:t>activities.</w:t>
      </w:r>
      <w:proofErr w:type="gramEnd"/>
      <w:r w:rsidR="00644E90" w:rsidRPr="009E62B6">
        <w:rPr>
          <w:sz w:val="22"/>
          <w:szCs w:val="18"/>
        </w:rPr>
        <w:t xml:space="preserve">  Th</w:t>
      </w:r>
      <w:r w:rsidR="008A5539" w:rsidRPr="009E62B6">
        <w:rPr>
          <w:sz w:val="22"/>
          <w:szCs w:val="18"/>
        </w:rPr>
        <w:t>i</w:t>
      </w:r>
      <w:r w:rsidR="00644E90" w:rsidRPr="009E62B6">
        <w:rPr>
          <w:sz w:val="22"/>
          <w:szCs w:val="18"/>
        </w:rPr>
        <w:t xml:space="preserve">s </w:t>
      </w:r>
      <w:r w:rsidR="008A5539" w:rsidRPr="009E62B6">
        <w:rPr>
          <w:sz w:val="22"/>
          <w:szCs w:val="18"/>
        </w:rPr>
        <w:t>course is designed for persons that are not electrical workers yet are exposed to a greater than normal risk of electrical shock due to their job activities. This includes workers that use portable electric tools or extension cords.</w:t>
      </w:r>
      <w:r w:rsidR="009E62B6" w:rsidRPr="009E62B6">
        <w:rPr>
          <w:sz w:val="22"/>
          <w:szCs w:val="18"/>
        </w:rPr>
        <w:br w:type="column"/>
      </w:r>
    </w:p>
    <w:p w14:paraId="718F1CCA" w14:textId="5B8EF7E6" w:rsidR="00D156CB" w:rsidRPr="009E62B6" w:rsidRDefault="00D156CB" w:rsidP="00D156CB">
      <w:pPr>
        <w:pStyle w:val="Heading2"/>
        <w:keepNext/>
        <w:rPr>
          <w:sz w:val="24"/>
        </w:rPr>
      </w:pPr>
      <w:bookmarkStart w:id="4" w:name="_Toc451324372"/>
      <w:bookmarkStart w:id="5" w:name="_Toc451326322"/>
      <w:bookmarkEnd w:id="0"/>
      <w:bookmarkEnd w:id="1"/>
      <w:bookmarkEnd w:id="2"/>
      <w:bookmarkEnd w:id="3"/>
      <w:r w:rsidRPr="009E62B6">
        <w:rPr>
          <w:sz w:val="24"/>
        </w:rPr>
        <w:t>Terminal Objective</w:t>
      </w:r>
      <w:bookmarkEnd w:id="4"/>
      <w:bookmarkEnd w:id="5"/>
    </w:p>
    <w:p w14:paraId="1A507602" w14:textId="677357FF" w:rsidR="00D156CB" w:rsidRPr="009E62B6" w:rsidRDefault="003C6DA2" w:rsidP="004C2C55">
      <w:pPr>
        <w:pStyle w:val="ListBullet"/>
        <w:numPr>
          <w:ilvl w:val="0"/>
          <w:numId w:val="0"/>
        </w:numPr>
        <w:rPr>
          <w:sz w:val="22"/>
          <w:szCs w:val="22"/>
        </w:rPr>
      </w:pPr>
      <w:r w:rsidRPr="009E62B6">
        <w:rPr>
          <w:rFonts w:cstheme="minorHAnsi"/>
          <w:sz w:val="22"/>
          <w:szCs w:val="22"/>
        </w:rPr>
        <w:t>Upon completion of training, the student shall be able to explain the electrical safety requirements as they pertain to non-electrical</w:t>
      </w:r>
      <w:r w:rsidR="006F5F9C" w:rsidRPr="009E62B6">
        <w:rPr>
          <w:rFonts w:cstheme="minorHAnsi"/>
          <w:sz w:val="22"/>
          <w:szCs w:val="22"/>
        </w:rPr>
        <w:t xml:space="preserve"> in accordance with NFPA 70E and OSHA</w:t>
      </w:r>
      <w:r w:rsidRPr="009E62B6">
        <w:rPr>
          <w:rFonts w:cstheme="minorHAnsi"/>
          <w:sz w:val="22"/>
          <w:szCs w:val="22"/>
        </w:rPr>
        <w:t>.</w:t>
      </w:r>
    </w:p>
    <w:p w14:paraId="1BCBF1B0" w14:textId="21B87D98" w:rsidR="00D156CB" w:rsidRPr="009E62B6" w:rsidRDefault="004C2C55" w:rsidP="00D156CB">
      <w:pPr>
        <w:pStyle w:val="Heading2"/>
        <w:keepNext/>
        <w:rPr>
          <w:sz w:val="24"/>
        </w:rPr>
      </w:pPr>
      <w:r w:rsidRPr="009E62B6">
        <w:rPr>
          <w:sz w:val="24"/>
        </w:rPr>
        <w:t>Topics Covered:</w:t>
      </w:r>
    </w:p>
    <w:p w14:paraId="7A03A0EF" w14:textId="118A3408" w:rsidR="00D156CB" w:rsidRPr="009E62B6" w:rsidRDefault="004C2C55" w:rsidP="009E62B6">
      <w:pPr>
        <w:pStyle w:val="ListParagraph"/>
        <w:numPr>
          <w:ilvl w:val="0"/>
          <w:numId w:val="2"/>
        </w:numPr>
        <w:spacing w:before="0" w:after="0"/>
        <w:ind w:left="360" w:right="90"/>
        <w:rPr>
          <w:sz w:val="22"/>
          <w:szCs w:val="22"/>
        </w:rPr>
      </w:pPr>
      <w:r w:rsidRPr="009E62B6">
        <w:rPr>
          <w:rFonts w:cstheme="minorHAnsi"/>
          <w:sz w:val="22"/>
          <w:szCs w:val="22"/>
        </w:rPr>
        <w:t>H</w:t>
      </w:r>
      <w:r w:rsidR="003C6DA2" w:rsidRPr="009E62B6">
        <w:rPr>
          <w:rFonts w:cstheme="minorHAnsi"/>
          <w:sz w:val="22"/>
          <w:szCs w:val="22"/>
        </w:rPr>
        <w:t>azards of using</w:t>
      </w:r>
      <w:r w:rsidRPr="009E62B6">
        <w:rPr>
          <w:rFonts w:cstheme="minorHAnsi"/>
          <w:sz w:val="22"/>
          <w:szCs w:val="22"/>
        </w:rPr>
        <w:t xml:space="preserve"> cord and plug connected</w:t>
      </w:r>
      <w:r w:rsidR="003C6DA2" w:rsidRPr="009E62B6">
        <w:rPr>
          <w:rFonts w:cstheme="minorHAnsi"/>
          <w:sz w:val="22"/>
          <w:szCs w:val="22"/>
        </w:rPr>
        <w:t xml:space="preserve"> tools and equipment</w:t>
      </w:r>
    </w:p>
    <w:p w14:paraId="7841F345" w14:textId="7DFAC44F" w:rsidR="00D156CB" w:rsidRPr="009E62B6" w:rsidRDefault="004C2C55" w:rsidP="009E62B6">
      <w:pPr>
        <w:pStyle w:val="ListParagraph"/>
        <w:numPr>
          <w:ilvl w:val="0"/>
          <w:numId w:val="2"/>
        </w:numPr>
        <w:spacing w:before="0" w:after="0"/>
        <w:ind w:left="360" w:right="90"/>
        <w:rPr>
          <w:sz w:val="22"/>
          <w:szCs w:val="22"/>
        </w:rPr>
      </w:pPr>
      <w:r w:rsidRPr="009E62B6">
        <w:rPr>
          <w:rFonts w:cstheme="minorHAnsi"/>
          <w:sz w:val="22"/>
          <w:szCs w:val="22"/>
        </w:rPr>
        <w:t>T</w:t>
      </w:r>
      <w:r w:rsidR="003C6DA2" w:rsidRPr="009E62B6">
        <w:rPr>
          <w:rFonts w:cstheme="minorHAnsi"/>
          <w:sz w:val="22"/>
          <w:szCs w:val="22"/>
        </w:rPr>
        <w:t>he relationship between electrical hazards and possible injury</w:t>
      </w:r>
    </w:p>
    <w:p w14:paraId="151EA76A" w14:textId="184A0DC0" w:rsidR="00D156CB" w:rsidRPr="009E62B6" w:rsidRDefault="003C6DA2" w:rsidP="009E62B6">
      <w:pPr>
        <w:pStyle w:val="ListParagraph"/>
        <w:numPr>
          <w:ilvl w:val="0"/>
          <w:numId w:val="2"/>
        </w:numPr>
        <w:spacing w:before="0" w:after="0"/>
        <w:ind w:left="360" w:right="90"/>
        <w:rPr>
          <w:sz w:val="22"/>
          <w:szCs w:val="22"/>
        </w:rPr>
      </w:pPr>
      <w:r w:rsidRPr="009E62B6">
        <w:rPr>
          <w:rFonts w:cstheme="minorHAnsi"/>
          <w:sz w:val="22"/>
          <w:szCs w:val="22"/>
        </w:rPr>
        <w:t>Explain the use and limitations of electrical protective devices</w:t>
      </w:r>
    </w:p>
    <w:p w14:paraId="54093F09" w14:textId="49991A13" w:rsidR="00D156CB" w:rsidRPr="009E62B6" w:rsidRDefault="003C6DA2" w:rsidP="009E62B6">
      <w:pPr>
        <w:pStyle w:val="ListParagraph"/>
        <w:numPr>
          <w:ilvl w:val="0"/>
          <w:numId w:val="2"/>
        </w:numPr>
        <w:spacing w:before="0" w:after="0"/>
        <w:ind w:left="360" w:right="90"/>
        <w:rPr>
          <w:sz w:val="22"/>
          <w:szCs w:val="22"/>
        </w:rPr>
      </w:pPr>
      <w:r w:rsidRPr="009E62B6">
        <w:rPr>
          <w:rFonts w:cstheme="minorHAnsi"/>
          <w:sz w:val="22"/>
          <w:szCs w:val="22"/>
        </w:rPr>
        <w:t>Assured Equipment Grounding Conductor Program</w:t>
      </w:r>
    </w:p>
    <w:p w14:paraId="01C41896" w14:textId="36B66E83" w:rsidR="00D156CB" w:rsidRPr="009E62B6" w:rsidRDefault="009D670D" w:rsidP="009E62B6">
      <w:pPr>
        <w:pStyle w:val="ListParagraph"/>
        <w:numPr>
          <w:ilvl w:val="0"/>
          <w:numId w:val="2"/>
        </w:numPr>
        <w:spacing w:before="0" w:after="0"/>
        <w:ind w:left="360" w:right="90"/>
        <w:rPr>
          <w:sz w:val="22"/>
          <w:szCs w:val="22"/>
        </w:rPr>
      </w:pPr>
      <w:r w:rsidRPr="009E62B6">
        <w:rPr>
          <w:rFonts w:cstheme="minorHAnsi"/>
          <w:sz w:val="22"/>
          <w:szCs w:val="22"/>
        </w:rPr>
        <w:t>E</w:t>
      </w:r>
      <w:r w:rsidR="003C6DA2" w:rsidRPr="009E62B6">
        <w:rPr>
          <w:rFonts w:cstheme="minorHAnsi"/>
          <w:sz w:val="22"/>
          <w:szCs w:val="22"/>
        </w:rPr>
        <w:t>lectrical safety requirements for electrical equipment and cord use</w:t>
      </w:r>
    </w:p>
    <w:p w14:paraId="5AEFDD93" w14:textId="64233BB5" w:rsidR="00D156CB" w:rsidRPr="009E62B6" w:rsidRDefault="009D670D" w:rsidP="009E62B6">
      <w:pPr>
        <w:pStyle w:val="ListParagraph"/>
        <w:numPr>
          <w:ilvl w:val="0"/>
          <w:numId w:val="2"/>
        </w:numPr>
        <w:spacing w:before="0" w:after="0"/>
        <w:ind w:left="360" w:right="90"/>
        <w:rPr>
          <w:sz w:val="22"/>
          <w:szCs w:val="22"/>
        </w:rPr>
      </w:pPr>
      <w:r w:rsidRPr="009E62B6">
        <w:rPr>
          <w:rFonts w:cstheme="minorHAnsi"/>
          <w:sz w:val="22"/>
          <w:szCs w:val="22"/>
        </w:rPr>
        <w:t>U</w:t>
      </w:r>
      <w:r w:rsidR="003C6DA2" w:rsidRPr="009E62B6">
        <w:rPr>
          <w:rFonts w:cstheme="minorHAnsi"/>
          <w:sz w:val="22"/>
          <w:szCs w:val="22"/>
        </w:rPr>
        <w:t>tilization load application scenarios</w:t>
      </w:r>
    </w:p>
    <w:p w14:paraId="3F143B41" w14:textId="6BFE4CBF" w:rsidR="00D156CB" w:rsidRPr="009E62B6" w:rsidRDefault="003C6DA2" w:rsidP="009E62B6">
      <w:pPr>
        <w:pStyle w:val="ListParagraph"/>
        <w:numPr>
          <w:ilvl w:val="0"/>
          <w:numId w:val="2"/>
        </w:numPr>
        <w:spacing w:before="0" w:after="0"/>
        <w:ind w:left="360" w:right="90"/>
        <w:rPr>
          <w:sz w:val="22"/>
          <w:szCs w:val="22"/>
        </w:rPr>
      </w:pPr>
      <w:r w:rsidRPr="009E62B6">
        <w:rPr>
          <w:rFonts w:cstheme="minorHAnsi"/>
          <w:sz w:val="22"/>
          <w:szCs w:val="22"/>
        </w:rPr>
        <w:t>Recognize unsafe electrical working conditions</w:t>
      </w:r>
    </w:p>
    <w:p w14:paraId="0631F7D8" w14:textId="15D33EF7" w:rsidR="00D156CB" w:rsidRPr="009E62B6" w:rsidRDefault="009D670D" w:rsidP="009E62B6">
      <w:pPr>
        <w:pStyle w:val="ListParagraph"/>
        <w:numPr>
          <w:ilvl w:val="0"/>
          <w:numId w:val="2"/>
        </w:numPr>
        <w:spacing w:before="0" w:after="0"/>
        <w:ind w:left="360" w:right="90"/>
        <w:rPr>
          <w:sz w:val="22"/>
          <w:szCs w:val="22"/>
        </w:rPr>
      </w:pPr>
      <w:r w:rsidRPr="009E62B6">
        <w:rPr>
          <w:rFonts w:cstheme="minorHAnsi"/>
          <w:sz w:val="22"/>
          <w:szCs w:val="22"/>
        </w:rPr>
        <w:t>P</w:t>
      </w:r>
      <w:r w:rsidR="003C6DA2" w:rsidRPr="009E62B6">
        <w:rPr>
          <w:rFonts w:cstheme="minorHAnsi"/>
          <w:sz w:val="22"/>
          <w:szCs w:val="22"/>
        </w:rPr>
        <w:t>roper response to electrical accidents</w:t>
      </w:r>
    </w:p>
    <w:p w14:paraId="6D3BA77F" w14:textId="77777777" w:rsidR="009D670D" w:rsidRPr="009E62B6" w:rsidRDefault="009D670D" w:rsidP="009D670D">
      <w:pPr>
        <w:pStyle w:val="Heading2"/>
        <w:keepNext/>
        <w:rPr>
          <w:sz w:val="24"/>
        </w:rPr>
      </w:pPr>
      <w:r w:rsidRPr="009E62B6">
        <w:rPr>
          <w:sz w:val="24"/>
        </w:rPr>
        <w:t>References</w:t>
      </w:r>
    </w:p>
    <w:p w14:paraId="2495A94D" w14:textId="62053D40" w:rsidR="009D670D" w:rsidRPr="009E62B6" w:rsidRDefault="009D670D" w:rsidP="009D670D">
      <w:pPr>
        <w:pStyle w:val="BodyText"/>
        <w:numPr>
          <w:ilvl w:val="0"/>
          <w:numId w:val="5"/>
        </w:numPr>
        <w:spacing w:before="0" w:after="0"/>
        <w:rPr>
          <w:sz w:val="22"/>
          <w:szCs w:val="18"/>
        </w:rPr>
      </w:pPr>
      <w:r w:rsidRPr="009E62B6">
        <w:rPr>
          <w:sz w:val="22"/>
          <w:szCs w:val="18"/>
        </w:rPr>
        <w:t>NFPA-70E Standard for Electrical Safety in the Workplace, 20</w:t>
      </w:r>
      <w:r w:rsidR="00E63711">
        <w:rPr>
          <w:sz w:val="22"/>
          <w:szCs w:val="18"/>
        </w:rPr>
        <w:t>21</w:t>
      </w:r>
      <w:r w:rsidRPr="009E62B6">
        <w:rPr>
          <w:sz w:val="22"/>
          <w:szCs w:val="18"/>
        </w:rPr>
        <w:t xml:space="preserve"> edition</w:t>
      </w:r>
    </w:p>
    <w:p w14:paraId="4E9EECD2" w14:textId="77777777" w:rsidR="009E62B6" w:rsidRDefault="009D670D" w:rsidP="009E62B6">
      <w:pPr>
        <w:pStyle w:val="BodyText"/>
        <w:numPr>
          <w:ilvl w:val="0"/>
          <w:numId w:val="5"/>
        </w:numPr>
        <w:spacing w:before="0" w:after="0"/>
        <w:rPr>
          <w:sz w:val="22"/>
          <w:szCs w:val="18"/>
        </w:rPr>
      </w:pPr>
      <w:r w:rsidRPr="009E62B6">
        <w:rPr>
          <w:sz w:val="22"/>
          <w:szCs w:val="18"/>
        </w:rPr>
        <w:t>29 CFR 1910 OSHA General Industry</w:t>
      </w:r>
    </w:p>
    <w:p w14:paraId="5CD609B4" w14:textId="4C4A0497" w:rsidR="009D670D" w:rsidRPr="009E62B6" w:rsidRDefault="009D670D" w:rsidP="009E62B6">
      <w:pPr>
        <w:pStyle w:val="BodyText"/>
        <w:numPr>
          <w:ilvl w:val="0"/>
          <w:numId w:val="5"/>
        </w:numPr>
        <w:spacing w:before="0" w:after="0"/>
        <w:rPr>
          <w:sz w:val="22"/>
          <w:szCs w:val="18"/>
        </w:rPr>
      </w:pPr>
      <w:r w:rsidRPr="009E62B6">
        <w:rPr>
          <w:sz w:val="22"/>
          <w:szCs w:val="18"/>
        </w:rPr>
        <w:t>29 CFR 1926 OSHA Construction</w:t>
      </w:r>
    </w:p>
    <w:p w14:paraId="558006FE" w14:textId="77777777" w:rsidR="009E62B6" w:rsidRDefault="009E62B6" w:rsidP="004204AE">
      <w:pPr>
        <w:jc w:val="both"/>
        <w:sectPr w:rsidR="009E62B6" w:rsidSect="004C2C55">
          <w:type w:val="continuous"/>
          <w:pgSz w:w="12240" w:h="15840"/>
          <w:pgMar w:top="1440" w:right="1440" w:bottom="1440" w:left="1440" w:header="720" w:footer="720" w:gutter="0"/>
          <w:cols w:num="2" w:space="720"/>
          <w:docGrid w:linePitch="360"/>
        </w:sectPr>
      </w:pPr>
    </w:p>
    <w:p w14:paraId="27E35448" w14:textId="77777777" w:rsidR="009E62B6" w:rsidRDefault="009E62B6" w:rsidP="009E62B6">
      <w:pPr>
        <w:pStyle w:val="NormalWeb"/>
        <w:spacing w:before="0" w:beforeAutospacing="0" w:after="0" w:afterAutospacing="0"/>
        <w:jc w:val="center"/>
        <w:rPr>
          <w:rFonts w:ascii="Century Gothic" w:eastAsia="+mn-ea" w:hAnsi="Century Gothic" w:cs="Cordia New"/>
          <w:color w:val="0052A5"/>
          <w:kern w:val="24"/>
          <w:sz w:val="32"/>
          <w:szCs w:val="32"/>
        </w:rPr>
      </w:pPr>
    </w:p>
    <w:p w14:paraId="6853BF8E" w14:textId="6FE89F8C" w:rsidR="009E62B6" w:rsidRDefault="009E62B6" w:rsidP="001E3EC0">
      <w:pPr>
        <w:pStyle w:val="NormalWeb"/>
        <w:spacing w:before="0" w:beforeAutospacing="0" w:after="0" w:afterAutospacing="0"/>
        <w:rPr>
          <w:rFonts w:ascii="Century Gothic" w:eastAsia="+mn-ea" w:hAnsi="Century Gothic" w:cs="Cordia New"/>
          <w:color w:val="0052A5"/>
          <w:kern w:val="24"/>
          <w:sz w:val="32"/>
          <w:szCs w:val="32"/>
        </w:rPr>
      </w:pPr>
    </w:p>
    <w:sectPr w:rsidR="009E62B6" w:rsidSect="00FB471A">
      <w:type w:val="continuous"/>
      <w:pgSz w:w="12240" w:h="15840"/>
      <w:pgMar w:top="1440" w:right="1440" w:bottom="1440" w:left="1440" w:header="720"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583913" w14:textId="77777777" w:rsidR="00B100BC" w:rsidRDefault="00B100BC" w:rsidP="00FA3E18">
      <w:pPr>
        <w:spacing w:after="0"/>
      </w:pPr>
      <w:r>
        <w:separator/>
      </w:r>
    </w:p>
  </w:endnote>
  <w:endnote w:type="continuationSeparator" w:id="0">
    <w:p w14:paraId="1374E347" w14:textId="77777777" w:rsidR="00B100BC" w:rsidRDefault="00B100BC" w:rsidP="00FA3E1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n-ea">
    <w:panose1 w:val="00000000000000000000"/>
    <w:charset w:val="00"/>
    <w:family w:val="roman"/>
    <w:notTrueType/>
    <w:pitch w:val="default"/>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206080" w14:textId="2329FF3A" w:rsidR="001E3EC0" w:rsidRDefault="001E3EC0" w:rsidP="0025054E">
    <w:pPr>
      <w:pStyle w:val="Footer"/>
    </w:pPr>
  </w:p>
  <w:p w14:paraId="7D0B48CB" w14:textId="6E89C61B" w:rsidR="001E3EC0" w:rsidRDefault="001E3EC0" w:rsidP="001E3EC0">
    <w:pPr>
      <w:pStyle w:val="NormalWeb"/>
      <w:spacing w:before="0" w:beforeAutospacing="0" w:after="0" w:afterAutospacing="0"/>
      <w:jc w:val="center"/>
      <w:rPr>
        <w:rFonts w:ascii="Century Gothic" w:eastAsia="+mn-ea" w:hAnsi="Century Gothic" w:cs="Cordia New"/>
        <w:b/>
        <w:bCs/>
        <w:color w:val="E0162B"/>
        <w:kern w:val="24"/>
        <w:sz w:val="32"/>
        <w:szCs w:val="32"/>
      </w:rPr>
    </w:pPr>
    <w:r w:rsidRPr="009E62B6">
      <w:rPr>
        <w:rFonts w:ascii="Century Gothic" w:eastAsia="+mn-ea" w:hAnsi="Century Gothic" w:cs="Cordia New"/>
        <w:color w:val="0052A5"/>
        <w:kern w:val="24"/>
        <w:sz w:val="32"/>
        <w:szCs w:val="32"/>
      </w:rPr>
      <w:t xml:space="preserve">Safety through </w:t>
    </w:r>
    <w:r w:rsidRPr="009E62B6">
      <w:rPr>
        <w:rFonts w:ascii="Century Gothic" w:eastAsia="+mn-ea" w:hAnsi="Century Gothic" w:cs="Cordia New"/>
        <w:b/>
        <w:bCs/>
        <w:color w:val="E0162B"/>
        <w:kern w:val="24"/>
        <w:sz w:val="32"/>
        <w:szCs w:val="32"/>
      </w:rPr>
      <w:t>performance</w:t>
    </w:r>
    <w:r w:rsidRPr="009E62B6">
      <w:rPr>
        <w:rFonts w:ascii="Century Gothic" w:eastAsia="+mn-ea" w:hAnsi="Century Gothic" w:cs="Cordia New"/>
        <w:color w:val="0052A5"/>
        <w:kern w:val="24"/>
        <w:sz w:val="32"/>
        <w:szCs w:val="32"/>
      </w:rPr>
      <w:t xml:space="preserve"> and </w:t>
    </w:r>
    <w:r w:rsidRPr="009E62B6">
      <w:rPr>
        <w:rFonts w:ascii="Century Gothic" w:eastAsia="+mn-ea" w:hAnsi="Century Gothic" w:cs="Cordia New"/>
        <w:b/>
        <w:bCs/>
        <w:color w:val="E0162B"/>
        <w:kern w:val="24"/>
        <w:sz w:val="32"/>
        <w:szCs w:val="32"/>
      </w:rPr>
      <w:t>training</w:t>
    </w:r>
  </w:p>
  <w:p w14:paraId="5480289F" w14:textId="77777777" w:rsidR="001E3EC0" w:rsidRPr="009E62B6" w:rsidRDefault="001E3EC0" w:rsidP="001E3EC0">
    <w:pPr>
      <w:pStyle w:val="NormalWeb"/>
      <w:spacing w:before="0" w:beforeAutospacing="0" w:after="0" w:afterAutospacing="0"/>
      <w:jc w:val="center"/>
      <w:rPr>
        <w:sz w:val="8"/>
        <w:szCs w:val="8"/>
      </w:rPr>
    </w:pPr>
  </w:p>
  <w:p w14:paraId="129F1C3F" w14:textId="33265D34" w:rsidR="001E3EC0" w:rsidRDefault="001E3EC0" w:rsidP="001E3EC0">
    <w:pPr>
      <w:pStyle w:val="Footer"/>
      <w:jc w:val="center"/>
    </w:pPr>
    <w:r>
      <w:t>For additional information or</w:t>
    </w:r>
    <w:r w:rsidRPr="001E3EC0">
      <w:t xml:space="preserve"> </w:t>
    </w:r>
    <w:r>
      <w:t>quote for service:</w:t>
    </w:r>
  </w:p>
  <w:p w14:paraId="61D26FE7" w14:textId="77777777" w:rsidR="001E3EC0" w:rsidRDefault="001E3EC0" w:rsidP="001E3EC0">
    <w:pPr>
      <w:pStyle w:val="Footer"/>
      <w:jc w:val="center"/>
    </w:pPr>
  </w:p>
  <w:p w14:paraId="6C5A94AA" w14:textId="608E8054" w:rsidR="00FA3E18" w:rsidRPr="0025054E" w:rsidRDefault="001E3EC0" w:rsidP="0025054E">
    <w:pPr>
      <w:pStyle w:val="Footer"/>
    </w:pPr>
    <w:r>
      <w:t>Phone: 360-689-5405</w:t>
    </w:r>
    <w:r w:rsidR="0025054E">
      <w:tab/>
    </w:r>
    <w:r>
      <w:t>www.ElecTrain.com</w:t>
    </w:r>
    <w:r w:rsidR="0025054E">
      <w:tab/>
    </w:r>
    <w:r>
      <w:t>Email: Info@ElecTrain.com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1FC23C" w14:textId="77777777" w:rsidR="00B100BC" w:rsidRDefault="00B100BC" w:rsidP="00FA3E18">
      <w:pPr>
        <w:spacing w:after="0"/>
      </w:pPr>
      <w:r>
        <w:separator/>
      </w:r>
    </w:p>
  </w:footnote>
  <w:footnote w:type="continuationSeparator" w:id="0">
    <w:p w14:paraId="229B0933" w14:textId="77777777" w:rsidR="00B100BC" w:rsidRDefault="00B100BC" w:rsidP="00FA3E1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D07BB" w14:textId="080A90BF" w:rsidR="00FA3E18" w:rsidRDefault="0025054E" w:rsidP="00FA3E18">
    <w:pPr>
      <w:pStyle w:val="Header"/>
      <w:jc w:val="center"/>
    </w:pPr>
    <w:r>
      <w:rPr>
        <w:noProof/>
        <w:sz w:val="32"/>
        <w:szCs w:val="32"/>
      </w:rPr>
      <mc:AlternateContent>
        <mc:Choice Requires="wps">
          <w:drawing>
            <wp:anchor distT="0" distB="0" distL="114300" distR="114300" simplePos="0" relativeHeight="251660288" behindDoc="0" locked="0" layoutInCell="1" allowOverlap="1" wp14:anchorId="0A4F225C" wp14:editId="6B586BF1">
              <wp:simplePos x="0" y="0"/>
              <wp:positionH relativeFrom="page">
                <wp:align>right</wp:align>
              </wp:positionH>
              <wp:positionV relativeFrom="paragraph">
                <wp:posOffset>-3399632</wp:posOffset>
              </wp:positionV>
              <wp:extent cx="75883" cy="7751765"/>
              <wp:effectExtent l="0" t="27940" r="10795" b="29845"/>
              <wp:wrapNone/>
              <wp:docPr id="2" name="Isosceles Triangle 2"/>
              <wp:cNvGraphicFramePr/>
              <a:graphic xmlns:a="http://schemas.openxmlformats.org/drawingml/2006/main">
                <a:graphicData uri="http://schemas.microsoft.com/office/word/2010/wordprocessingShape">
                  <wps:wsp>
                    <wps:cNvSpPr/>
                    <wps:spPr>
                      <a:xfrm rot="16200000">
                        <a:off x="0" y="0"/>
                        <a:ext cx="75883" cy="7751765"/>
                      </a:xfrm>
                      <a:prstGeom prst="triangle">
                        <a:avLst/>
                      </a:prstGeom>
                      <a:solidFill>
                        <a:srgbClr val="0052A5"/>
                      </a:solidFill>
                      <a:ln>
                        <a:solidFill>
                          <a:srgbClr val="0052A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C5C67D"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26" type="#_x0000_t5" style="position:absolute;margin-left:-45.2pt;margin-top:-267.7pt;width:6pt;height:610.4pt;rotation:-90;z-index:25166028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" fillcolor="#0052a5" strokecolor="#0052a5" strokeweight="1pt">
              <w10:wrap anchorx="page"/>
            </v:shape>
          </w:pict>
        </mc:Fallback>
      </mc:AlternateContent>
    </w:r>
    <w:r w:rsidR="008A5539">
      <w:rPr>
        <w:rFonts w:ascii="Verdana" w:hAnsi="Verdana"/>
        <w:b/>
        <w:noProof/>
        <w:sz w:val="36"/>
      </w:rPr>
      <w:drawing>
        <wp:anchor distT="0" distB="0" distL="114300" distR="114300" simplePos="0" relativeHeight="251658240" behindDoc="0" locked="0" layoutInCell="1" allowOverlap="1" wp14:anchorId="35F0DC76" wp14:editId="4B55207D">
          <wp:simplePos x="0" y="0"/>
          <wp:positionH relativeFrom="column">
            <wp:posOffset>1657350</wp:posOffset>
          </wp:positionH>
          <wp:positionV relativeFrom="paragraph">
            <wp:posOffset>-180975</wp:posOffset>
          </wp:positionV>
          <wp:extent cx="2524125" cy="468630"/>
          <wp:effectExtent l="0" t="0" r="9525" b="7620"/>
          <wp:wrapSquare wrapText="bothSides"/>
          <wp:docPr id="12" name="Picture 1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ecTrain color logo with name wht bkgrd.JPG"/>
                  <pic:cNvPicPr/>
                </pic:nvPicPr>
                <pic:blipFill>
                  <a:blip r:embed="rId1">
                    <a:extLst>
                      <a:ext uri="{28A0092B-C50C-407E-A947-70E740481C1C}">
                        <a14:useLocalDpi xmlns:a14="http://schemas.microsoft.com/office/drawing/2010/main" val="0"/>
                      </a:ext>
                    </a:extLst>
                  </a:blip>
                  <a:stretch>
                    <a:fillRect/>
                  </a:stretch>
                </pic:blipFill>
                <pic:spPr>
                  <a:xfrm>
                    <a:off x="0" y="0"/>
                    <a:ext cx="2524125" cy="468630"/>
                  </a:xfrm>
                  <a:prstGeom prst="rect">
                    <a:avLst/>
                  </a:prstGeom>
                </pic:spPr>
              </pic:pic>
            </a:graphicData>
          </a:graphic>
        </wp:anchor>
      </w:drawing>
    </w:r>
  </w:p>
  <w:p w14:paraId="505E60BB" w14:textId="4D226590" w:rsidR="004204AE" w:rsidRDefault="004204AE" w:rsidP="00FA3E18">
    <w:pPr>
      <w:pStyle w:val="Header"/>
      <w:jc w:val="center"/>
    </w:pPr>
  </w:p>
  <w:p w14:paraId="73A922FC" w14:textId="1D310EBE" w:rsidR="00FA3E18" w:rsidRDefault="001E3EC0">
    <w:pPr>
      <w:pStyle w:val="Header"/>
    </w:pPr>
    <w:r>
      <w:rPr>
        <w:noProof/>
        <w:sz w:val="32"/>
        <w:szCs w:val="32"/>
      </w:rPr>
      <mc:AlternateContent>
        <mc:Choice Requires="wps">
          <w:drawing>
            <wp:anchor distT="0" distB="0" distL="114300" distR="114300" simplePos="0" relativeHeight="251662336" behindDoc="0" locked="0" layoutInCell="1" allowOverlap="1" wp14:anchorId="463F05A6" wp14:editId="4C957704">
              <wp:simplePos x="0" y="0"/>
              <wp:positionH relativeFrom="page">
                <wp:align>right</wp:align>
              </wp:positionH>
              <wp:positionV relativeFrom="paragraph">
                <wp:posOffset>4027730</wp:posOffset>
              </wp:positionV>
              <wp:extent cx="101581" cy="8104505"/>
              <wp:effectExtent l="0" t="20320" r="0" b="31115"/>
              <wp:wrapNone/>
              <wp:docPr id="4" name="Isosceles Triangle 4"/>
              <wp:cNvGraphicFramePr/>
              <a:graphic xmlns:a="http://schemas.openxmlformats.org/drawingml/2006/main">
                <a:graphicData uri="http://schemas.microsoft.com/office/word/2010/wordprocessingShape">
                  <wps:wsp>
                    <wps:cNvSpPr/>
                    <wps:spPr>
                      <a:xfrm rot="5400000">
                        <a:off x="0" y="0"/>
                        <a:ext cx="101581" cy="8104505"/>
                      </a:xfrm>
                      <a:prstGeom prst="triangle">
                        <a:avLst/>
                      </a:prstGeom>
                      <a:solidFill>
                        <a:srgbClr val="E0162B"/>
                      </a:solidFill>
                      <a:ln>
                        <a:solidFill>
                          <a:srgbClr val="E0162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07DDE1" id="Isosceles Triangle 4" o:spid="_x0000_s1026" type="#_x0000_t5" style="position:absolute;margin-left:-43.2pt;margin-top:317.15pt;width:8pt;height:638.15pt;rotation:90;z-index:25166233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" fillcolor="#e0162b" strokecolor="#e0162b" strokeweight="1pt">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612DD7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527DE0"/>
    <w:multiLevelType w:val="hybridMultilevel"/>
    <w:tmpl w:val="7E68D8EC"/>
    <w:lvl w:ilvl="0" w:tplc="7F7ADDB8">
      <w:start w:val="1"/>
      <w:numFmt w:val="decimal"/>
      <w:lvlText w:val="%1."/>
      <w:lvlJc w:val="left"/>
      <w:pPr>
        <w:ind w:left="360" w:hanging="360"/>
      </w:pPr>
      <w:rPr>
        <w:rFonts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3E6293"/>
    <w:multiLevelType w:val="hybridMultilevel"/>
    <w:tmpl w:val="7B6C59A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A01535"/>
    <w:multiLevelType w:val="hybridMultilevel"/>
    <w:tmpl w:val="92483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591C60"/>
    <w:multiLevelType w:val="hybridMultilevel"/>
    <w:tmpl w:val="81E23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E18"/>
    <w:rsid w:val="001679AD"/>
    <w:rsid w:val="001E3EC0"/>
    <w:rsid w:val="00217B86"/>
    <w:rsid w:val="0025054E"/>
    <w:rsid w:val="00296D14"/>
    <w:rsid w:val="002A07A2"/>
    <w:rsid w:val="002C0BED"/>
    <w:rsid w:val="002C31B9"/>
    <w:rsid w:val="002E02FC"/>
    <w:rsid w:val="00310B05"/>
    <w:rsid w:val="00340944"/>
    <w:rsid w:val="003C6DA2"/>
    <w:rsid w:val="003E78D9"/>
    <w:rsid w:val="004204AE"/>
    <w:rsid w:val="004C2C55"/>
    <w:rsid w:val="00644E90"/>
    <w:rsid w:val="006C7287"/>
    <w:rsid w:val="006F5F9C"/>
    <w:rsid w:val="007323A2"/>
    <w:rsid w:val="007529B9"/>
    <w:rsid w:val="0076410C"/>
    <w:rsid w:val="00815A43"/>
    <w:rsid w:val="008A0C5E"/>
    <w:rsid w:val="008A5539"/>
    <w:rsid w:val="009C13F3"/>
    <w:rsid w:val="009D1CEC"/>
    <w:rsid w:val="009D670D"/>
    <w:rsid w:val="009E62B6"/>
    <w:rsid w:val="00A32045"/>
    <w:rsid w:val="00A91E2C"/>
    <w:rsid w:val="00AE3812"/>
    <w:rsid w:val="00B100BC"/>
    <w:rsid w:val="00B77280"/>
    <w:rsid w:val="00BE6412"/>
    <w:rsid w:val="00C57B03"/>
    <w:rsid w:val="00CD4E2C"/>
    <w:rsid w:val="00D156CB"/>
    <w:rsid w:val="00D67062"/>
    <w:rsid w:val="00D934F2"/>
    <w:rsid w:val="00E610A8"/>
    <w:rsid w:val="00E63711"/>
    <w:rsid w:val="00E87B03"/>
    <w:rsid w:val="00E96832"/>
    <w:rsid w:val="00EC5710"/>
    <w:rsid w:val="00F60DD5"/>
    <w:rsid w:val="00FA3E18"/>
    <w:rsid w:val="00FB013C"/>
    <w:rsid w:val="00FB4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03A639"/>
  <w15:chartTrackingRefBased/>
  <w15:docId w15:val="{97D6C933-44D9-45EF-97BE-2DF2CD91A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8"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4AE"/>
    <w:pPr>
      <w:spacing w:before="120" w:after="120" w:line="240" w:lineRule="auto"/>
    </w:pPr>
    <w:rPr>
      <w:rFonts w:ascii="Verdana" w:eastAsiaTheme="minorEastAsia" w:hAnsi="Verdana"/>
      <w:sz w:val="24"/>
      <w:szCs w:val="20"/>
    </w:rPr>
  </w:style>
  <w:style w:type="paragraph" w:styleId="Heading1">
    <w:name w:val="heading 1"/>
    <w:basedOn w:val="Normal"/>
    <w:next w:val="BodyText"/>
    <w:link w:val="Heading1Char"/>
    <w:qFormat/>
    <w:rsid w:val="00D156CB"/>
    <w:pPr>
      <w:keepNext/>
      <w:spacing w:before="240" w:after="240"/>
      <w:jc w:val="center"/>
      <w:outlineLvl w:val="0"/>
    </w:pPr>
    <w:rPr>
      <w:rFonts w:eastAsia="Times New Roman" w:cs="Calibri"/>
      <w:b/>
      <w:bCs/>
      <w:kern w:val="32"/>
      <w:sz w:val="32"/>
      <w:szCs w:val="32"/>
    </w:rPr>
  </w:style>
  <w:style w:type="paragraph" w:styleId="Heading2">
    <w:name w:val="heading 2"/>
    <w:basedOn w:val="Heading3"/>
    <w:next w:val="BodyText"/>
    <w:link w:val="Heading2Char"/>
    <w:uiPriority w:val="9"/>
    <w:qFormat/>
    <w:rsid w:val="00D156CB"/>
    <w:pPr>
      <w:keepNext w:val="0"/>
      <w:keepLines w:val="0"/>
      <w:spacing w:before="240" w:after="120"/>
      <w:ind w:right="720"/>
      <w:outlineLvl w:val="1"/>
    </w:pPr>
    <w:rPr>
      <w:rFonts w:ascii="Verdana" w:eastAsia="Times New Roman" w:hAnsi="Verdana" w:cs="Calibri"/>
      <w:b/>
      <w:color w:val="auto"/>
      <w:sz w:val="28"/>
    </w:rPr>
  </w:style>
  <w:style w:type="paragraph" w:styleId="Heading3">
    <w:name w:val="heading 3"/>
    <w:basedOn w:val="Normal"/>
    <w:next w:val="Normal"/>
    <w:link w:val="Heading3Char"/>
    <w:uiPriority w:val="9"/>
    <w:semiHidden/>
    <w:unhideWhenUsed/>
    <w:qFormat/>
    <w:rsid w:val="00D156CB"/>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3E18"/>
    <w:pPr>
      <w:tabs>
        <w:tab w:val="center" w:pos="4680"/>
        <w:tab w:val="right" w:pos="9360"/>
      </w:tabs>
      <w:spacing w:before="0" w:after="0"/>
    </w:pPr>
    <w:rPr>
      <w:rFonts w:asciiTheme="minorHAnsi" w:eastAsiaTheme="minorHAnsi" w:hAnsiTheme="minorHAnsi"/>
      <w:sz w:val="22"/>
      <w:szCs w:val="22"/>
    </w:rPr>
  </w:style>
  <w:style w:type="character" w:customStyle="1" w:styleId="HeaderChar">
    <w:name w:val="Header Char"/>
    <w:basedOn w:val="DefaultParagraphFont"/>
    <w:link w:val="Header"/>
    <w:uiPriority w:val="99"/>
    <w:rsid w:val="00FA3E18"/>
  </w:style>
  <w:style w:type="paragraph" w:styleId="Footer">
    <w:name w:val="footer"/>
    <w:basedOn w:val="Normal"/>
    <w:link w:val="FooterChar"/>
    <w:uiPriority w:val="99"/>
    <w:unhideWhenUsed/>
    <w:rsid w:val="00FA3E18"/>
    <w:pPr>
      <w:tabs>
        <w:tab w:val="center" w:pos="4680"/>
        <w:tab w:val="right" w:pos="9360"/>
      </w:tabs>
      <w:spacing w:before="0" w:after="0"/>
    </w:pPr>
    <w:rPr>
      <w:rFonts w:asciiTheme="minorHAnsi" w:eastAsiaTheme="minorHAnsi" w:hAnsiTheme="minorHAnsi"/>
      <w:sz w:val="22"/>
      <w:szCs w:val="22"/>
    </w:rPr>
  </w:style>
  <w:style w:type="character" w:customStyle="1" w:styleId="FooterChar">
    <w:name w:val="Footer Char"/>
    <w:basedOn w:val="DefaultParagraphFont"/>
    <w:link w:val="Footer"/>
    <w:uiPriority w:val="99"/>
    <w:rsid w:val="00FA3E18"/>
  </w:style>
  <w:style w:type="paragraph" w:styleId="Subtitle">
    <w:name w:val="Subtitle"/>
    <w:basedOn w:val="Normal"/>
    <w:next w:val="Normal"/>
    <w:link w:val="SubtitleChar"/>
    <w:uiPriority w:val="11"/>
    <w:qFormat/>
    <w:rsid w:val="004204AE"/>
    <w:pPr>
      <w:numPr>
        <w:ilvl w:val="1"/>
      </w:numPr>
      <w:jc w:val="center"/>
    </w:pPr>
    <w:rPr>
      <w:rFonts w:eastAsiaTheme="majorEastAsia" w:cstheme="majorBidi"/>
      <w:iCs/>
      <w:spacing w:val="15"/>
      <w:sz w:val="32"/>
      <w:szCs w:val="24"/>
    </w:rPr>
  </w:style>
  <w:style w:type="character" w:customStyle="1" w:styleId="SubtitleChar">
    <w:name w:val="Subtitle Char"/>
    <w:basedOn w:val="DefaultParagraphFont"/>
    <w:link w:val="Subtitle"/>
    <w:uiPriority w:val="11"/>
    <w:rsid w:val="004204AE"/>
    <w:rPr>
      <w:rFonts w:ascii="Verdana" w:eastAsiaTheme="majorEastAsia" w:hAnsi="Verdana" w:cstheme="majorBidi"/>
      <w:iCs/>
      <w:spacing w:val="15"/>
      <w:sz w:val="32"/>
      <w:szCs w:val="24"/>
    </w:rPr>
  </w:style>
  <w:style w:type="table" w:styleId="TableGrid">
    <w:name w:val="Table Grid"/>
    <w:basedOn w:val="TableNormal"/>
    <w:uiPriority w:val="39"/>
    <w:rsid w:val="004204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156CB"/>
    <w:rPr>
      <w:rFonts w:ascii="Verdana" w:eastAsia="Times New Roman" w:hAnsi="Verdana" w:cs="Calibri"/>
      <w:b/>
      <w:bCs/>
      <w:kern w:val="32"/>
      <w:sz w:val="32"/>
      <w:szCs w:val="32"/>
    </w:rPr>
  </w:style>
  <w:style w:type="character" w:customStyle="1" w:styleId="Heading2Char">
    <w:name w:val="Heading 2 Char"/>
    <w:basedOn w:val="DefaultParagraphFont"/>
    <w:link w:val="Heading2"/>
    <w:uiPriority w:val="9"/>
    <w:rsid w:val="00D156CB"/>
    <w:rPr>
      <w:rFonts w:ascii="Verdana" w:eastAsia="Times New Roman" w:hAnsi="Verdana" w:cs="Calibri"/>
      <w:b/>
      <w:sz w:val="28"/>
      <w:szCs w:val="24"/>
    </w:rPr>
  </w:style>
  <w:style w:type="paragraph" w:styleId="ListParagraph">
    <w:name w:val="List Paragraph"/>
    <w:aliases w:val="EO List"/>
    <w:basedOn w:val="Normal"/>
    <w:uiPriority w:val="34"/>
    <w:qFormat/>
    <w:rsid w:val="00D156CB"/>
    <w:pPr>
      <w:spacing w:before="240" w:after="240"/>
      <w:ind w:left="1080" w:hanging="1080"/>
    </w:pPr>
    <w:rPr>
      <w:rFonts w:eastAsia="Times New Roman" w:cs="Calibri"/>
      <w:szCs w:val="24"/>
    </w:rPr>
  </w:style>
  <w:style w:type="paragraph" w:styleId="ListBullet">
    <w:name w:val="List Bullet"/>
    <w:basedOn w:val="Normal"/>
    <w:uiPriority w:val="8"/>
    <w:qFormat/>
    <w:rsid w:val="00D156CB"/>
    <w:pPr>
      <w:numPr>
        <w:numId w:val="1"/>
      </w:numPr>
      <w:spacing w:before="240" w:after="240"/>
      <w:contextualSpacing/>
    </w:pPr>
    <w:rPr>
      <w:rFonts w:cs="Calibri"/>
      <w:szCs w:val="24"/>
    </w:rPr>
  </w:style>
  <w:style w:type="paragraph" w:styleId="BodyText">
    <w:name w:val="Body Text"/>
    <w:basedOn w:val="Normal"/>
    <w:link w:val="BodyTextChar"/>
    <w:uiPriority w:val="99"/>
    <w:unhideWhenUsed/>
    <w:rsid w:val="00D156CB"/>
  </w:style>
  <w:style w:type="character" w:customStyle="1" w:styleId="BodyTextChar">
    <w:name w:val="Body Text Char"/>
    <w:basedOn w:val="DefaultParagraphFont"/>
    <w:link w:val="BodyText"/>
    <w:uiPriority w:val="99"/>
    <w:rsid w:val="00D156CB"/>
    <w:rPr>
      <w:rFonts w:ascii="Verdana" w:eastAsiaTheme="minorEastAsia" w:hAnsi="Verdana"/>
      <w:sz w:val="24"/>
      <w:szCs w:val="20"/>
    </w:rPr>
  </w:style>
  <w:style w:type="character" w:customStyle="1" w:styleId="Heading3Char">
    <w:name w:val="Heading 3 Char"/>
    <w:basedOn w:val="DefaultParagraphFont"/>
    <w:link w:val="Heading3"/>
    <w:uiPriority w:val="9"/>
    <w:semiHidden/>
    <w:rsid w:val="00D156CB"/>
    <w:rPr>
      <w:rFonts w:asciiTheme="majorHAnsi" w:eastAsiaTheme="majorEastAsia" w:hAnsiTheme="majorHAnsi" w:cstheme="majorBidi"/>
      <w:color w:val="1F4D78" w:themeColor="accent1" w:themeShade="7F"/>
      <w:sz w:val="24"/>
      <w:szCs w:val="24"/>
    </w:rPr>
  </w:style>
  <w:style w:type="paragraph" w:styleId="TOC4">
    <w:name w:val="toc 4"/>
    <w:basedOn w:val="Normal"/>
    <w:next w:val="Normal"/>
    <w:autoRedefine/>
    <w:uiPriority w:val="39"/>
    <w:unhideWhenUsed/>
    <w:rsid w:val="004C2C55"/>
    <w:pPr>
      <w:tabs>
        <w:tab w:val="left" w:pos="1800"/>
        <w:tab w:val="right" w:leader="dot" w:pos="8640"/>
      </w:tabs>
      <w:spacing w:after="100"/>
      <w:ind w:right="720"/>
    </w:pPr>
    <w:rPr>
      <w:rFonts w:cs="Calibri"/>
      <w:b/>
      <w:noProof/>
      <w:szCs w:val="24"/>
    </w:rPr>
  </w:style>
  <w:style w:type="paragraph" w:styleId="BalloonText">
    <w:name w:val="Balloon Text"/>
    <w:basedOn w:val="Normal"/>
    <w:link w:val="BalloonTextChar"/>
    <w:uiPriority w:val="99"/>
    <w:semiHidden/>
    <w:unhideWhenUsed/>
    <w:rsid w:val="00296D14"/>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6D14"/>
    <w:rPr>
      <w:rFonts w:ascii="Segoe UI" w:eastAsiaTheme="minorEastAsia" w:hAnsi="Segoe UI" w:cs="Segoe UI"/>
      <w:sz w:val="18"/>
      <w:szCs w:val="18"/>
    </w:rPr>
  </w:style>
  <w:style w:type="paragraph" w:styleId="NormalWeb">
    <w:name w:val="Normal (Web)"/>
    <w:basedOn w:val="Normal"/>
    <w:uiPriority w:val="99"/>
    <w:unhideWhenUsed/>
    <w:rsid w:val="009E62B6"/>
    <w:pPr>
      <w:spacing w:before="100" w:beforeAutospacing="1" w:after="100" w:afterAutospacing="1"/>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989841">
      <w:bodyDiv w:val="1"/>
      <w:marLeft w:val="0"/>
      <w:marRight w:val="0"/>
      <w:marTop w:val="0"/>
      <w:marBottom w:val="0"/>
      <w:divBdr>
        <w:top w:val="none" w:sz="0" w:space="0" w:color="auto"/>
        <w:left w:val="none" w:sz="0" w:space="0" w:color="auto"/>
        <w:bottom w:val="none" w:sz="0" w:space="0" w:color="auto"/>
        <w:right w:val="none" w:sz="0" w:space="0" w:color="auto"/>
      </w:divBdr>
    </w:div>
    <w:div w:id="1362781101">
      <w:bodyDiv w:val="1"/>
      <w:marLeft w:val="0"/>
      <w:marRight w:val="0"/>
      <w:marTop w:val="0"/>
      <w:marBottom w:val="0"/>
      <w:divBdr>
        <w:top w:val="none" w:sz="0" w:space="0" w:color="auto"/>
        <w:left w:val="none" w:sz="0" w:space="0" w:color="auto"/>
        <w:bottom w:val="none" w:sz="0" w:space="0" w:color="auto"/>
        <w:right w:val="none" w:sz="0" w:space="0" w:color="auto"/>
      </w:divBdr>
    </w:div>
    <w:div w:id="1819344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284</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Hanford (MSP ver 1.0)</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Olsen, Andrew M</dc:creator>
  <cp:keywords/>
  <dc:description/>
  <cp:lastModifiedBy>Andrew Olsen</cp:lastModifiedBy>
  <cp:revision>4</cp:revision>
  <cp:lastPrinted>2020-05-19T17:52:00Z</cp:lastPrinted>
  <dcterms:created xsi:type="dcterms:W3CDTF">2020-05-19T17:55:00Z</dcterms:created>
  <dcterms:modified xsi:type="dcterms:W3CDTF">2021-02-25T22:43:00Z</dcterms:modified>
</cp:coreProperties>
</file>